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2150D" w14:textId="77777777" w:rsidR="00293105" w:rsidRDefault="00293105"/>
    <w:p w14:paraId="5912150E" w14:textId="3ECAC2CB" w:rsidR="00466185" w:rsidRPr="00DB79C1" w:rsidRDefault="00466185">
      <w:pPr>
        <w:rPr>
          <w:sz w:val="24"/>
          <w:szCs w:val="24"/>
        </w:rPr>
      </w:pPr>
      <w:r w:rsidRPr="00DB79C1">
        <w:rPr>
          <w:b/>
          <w:sz w:val="24"/>
          <w:szCs w:val="24"/>
        </w:rPr>
        <w:t>Material A</w:t>
      </w:r>
      <w:r w:rsidR="00783F38" w:rsidRPr="00DB79C1">
        <w:rPr>
          <w:b/>
          <w:sz w:val="24"/>
          <w:szCs w:val="24"/>
        </w:rPr>
        <w:t>ccounting Changes Workpaper (TO20</w:t>
      </w:r>
      <w:r w:rsidR="007E0AF4">
        <w:rPr>
          <w:b/>
          <w:sz w:val="24"/>
          <w:szCs w:val="24"/>
        </w:rPr>
        <w:t>2</w:t>
      </w:r>
      <w:r w:rsidR="001732A1">
        <w:rPr>
          <w:b/>
          <w:sz w:val="24"/>
          <w:szCs w:val="24"/>
        </w:rPr>
        <w:t>6</w:t>
      </w:r>
      <w:r w:rsidRPr="00DB79C1">
        <w:rPr>
          <w:b/>
          <w:sz w:val="24"/>
          <w:szCs w:val="24"/>
        </w:rPr>
        <w:t>)</w:t>
      </w:r>
    </w:p>
    <w:p w14:paraId="5912150F" w14:textId="68DB76D4" w:rsidR="00466185" w:rsidRPr="00AD7DD7" w:rsidRDefault="00466185">
      <w:pPr>
        <w:rPr>
          <w:sz w:val="24"/>
          <w:szCs w:val="24"/>
        </w:rPr>
      </w:pPr>
      <w:r w:rsidRPr="00AD7DD7">
        <w:rPr>
          <w:sz w:val="24"/>
          <w:szCs w:val="24"/>
        </w:rPr>
        <w:t>Pursuant to protocol section 3(a)(10), SCE is required to include in the Draft Annual Update a description of any “Material Accounting Changes” included in the Draft Annual Update.</w:t>
      </w:r>
    </w:p>
    <w:p w14:paraId="59121510" w14:textId="77777777" w:rsidR="00466185" w:rsidRPr="00AD7DD7" w:rsidRDefault="00466185" w:rsidP="00466185">
      <w:pPr>
        <w:ind w:left="720" w:hanging="720"/>
        <w:rPr>
          <w:sz w:val="24"/>
          <w:szCs w:val="24"/>
        </w:rPr>
      </w:pPr>
      <w:r w:rsidRPr="00AD7DD7">
        <w:rPr>
          <w:sz w:val="24"/>
          <w:szCs w:val="24"/>
        </w:rPr>
        <w:t>Material Accounting Changes are defined in the protocols as:</w:t>
      </w:r>
      <w:r w:rsidRPr="00AD7DD7">
        <w:rPr>
          <w:sz w:val="24"/>
          <w:szCs w:val="24"/>
        </w:rPr>
        <w:tab/>
      </w:r>
      <w:r w:rsidRPr="00AD7DD7">
        <w:rPr>
          <w:sz w:val="24"/>
          <w:szCs w:val="24"/>
        </w:rPr>
        <w:tab/>
      </w:r>
      <w:r w:rsidRPr="00AD7DD7">
        <w:rPr>
          <w:sz w:val="24"/>
          <w:szCs w:val="24"/>
        </w:rPr>
        <w:tab/>
      </w:r>
    </w:p>
    <w:p w14:paraId="59121511" w14:textId="2D8FA148" w:rsidR="00466185" w:rsidRPr="00AD7DD7" w:rsidRDefault="00466185" w:rsidP="00622968">
      <w:pPr>
        <w:ind w:left="720"/>
        <w:rPr>
          <w:rFonts w:ascii="Calibri" w:eastAsia="Times New Roman" w:hAnsi="Calibri" w:cs="Times New Roman"/>
          <w:color w:val="000000"/>
          <w:sz w:val="24"/>
          <w:szCs w:val="24"/>
        </w:rPr>
      </w:pPr>
      <w:r w:rsidRPr="00AD7DD7">
        <w:rPr>
          <w:rFonts w:ascii="Calibri" w:eastAsia="Times New Roman" w:hAnsi="Calibri" w:cs="Times New Roman"/>
          <w:color w:val="000000"/>
          <w:sz w:val="24"/>
          <w:szCs w:val="24"/>
        </w:rPr>
        <w:t>“</w:t>
      </w:r>
      <w:r w:rsidR="00622968" w:rsidRPr="00AD7DD7">
        <w:rPr>
          <w:rFonts w:ascii="Calibri" w:eastAsia="Times New Roman" w:hAnsi="Calibri" w:cs="Times New Roman"/>
          <w:color w:val="000000"/>
          <w:sz w:val="24"/>
          <w:szCs w:val="24"/>
        </w:rPr>
        <w:t xml:space="preserve">Material Accounting Changes” shall mean any material change that affects SCE’s transmission rates as follows: (i) accounting policies and practices from those in effect for the Prior Year upon which the immediately preceding Annual Update was based, including those resulting from any new or revised accounting guidance from the Financial Accounting Standards Board; or (ii) internal corporate cost allocation policies or practices in effect for the Prior Year upon which the immediately preceding Annual Update was based; or (iii) income tax elections from those in effect for the Prior Year upon which the immediately preceding Annual Update was based; or (iv) cost allocation policies between EIX, SCE, and subsidiaries of either, from those in effect for the Prior Year upon which the immediately preceding Annual Update was based. Additionally, a Material Accounting Change shall also include any: (i) initial implementation of an accounting standard; or (ii) initial implementation of accounting practices for unusual or unconventional items where the Commission has not provided specific accounting </w:t>
      </w:r>
      <w:proofErr w:type="gramStart"/>
      <w:r w:rsidR="00622968" w:rsidRPr="00AD7DD7">
        <w:rPr>
          <w:rFonts w:ascii="Calibri" w:eastAsia="Times New Roman" w:hAnsi="Calibri" w:cs="Times New Roman"/>
          <w:color w:val="000000"/>
          <w:sz w:val="24"/>
          <w:szCs w:val="24"/>
        </w:rPr>
        <w:t>direction</w:t>
      </w:r>
      <w:proofErr w:type="gramEnd"/>
      <w:r w:rsidR="00622968" w:rsidRPr="00AD7DD7">
        <w:rPr>
          <w:rFonts w:ascii="Calibri" w:eastAsia="Times New Roman" w:hAnsi="Calibri" w:cs="Times New Roman"/>
          <w:color w:val="000000"/>
          <w:sz w:val="24"/>
          <w:szCs w:val="24"/>
        </w:rPr>
        <w:t>.</w:t>
      </w:r>
      <w:r w:rsidR="00436BFD" w:rsidRPr="00AD7DD7" w:rsidDel="00436BFD">
        <w:rPr>
          <w:rFonts w:ascii="Calibri" w:eastAsia="Times New Roman" w:hAnsi="Calibri" w:cs="Times New Roman"/>
          <w:color w:val="000000"/>
          <w:sz w:val="24"/>
          <w:szCs w:val="24"/>
        </w:rPr>
        <w:t xml:space="preserve"> </w:t>
      </w:r>
    </w:p>
    <w:p w14:paraId="3E7DA980" w14:textId="1F3E54EE" w:rsidR="00E2442D" w:rsidRPr="00AD7DD7" w:rsidRDefault="00127C12" w:rsidP="000919E8">
      <w:pPr>
        <w:rPr>
          <w:rFonts w:ascii="Calibri" w:eastAsia="Times New Roman" w:hAnsi="Calibri" w:cs="Times New Roman"/>
          <w:color w:val="000000"/>
          <w:sz w:val="24"/>
          <w:szCs w:val="24"/>
        </w:rPr>
      </w:pPr>
      <w:r w:rsidRPr="00AD7DD7">
        <w:rPr>
          <w:rFonts w:ascii="Calibri" w:eastAsia="Times New Roman" w:hAnsi="Calibri" w:cs="Times New Roman"/>
          <w:color w:val="000000"/>
          <w:sz w:val="24"/>
          <w:szCs w:val="24"/>
        </w:rPr>
        <w:t xml:space="preserve">SCE has identified </w:t>
      </w:r>
      <w:r w:rsidR="00FA30F7" w:rsidRPr="00AD7DD7">
        <w:rPr>
          <w:rFonts w:ascii="Calibri" w:eastAsia="Times New Roman" w:hAnsi="Calibri" w:cs="Times New Roman"/>
          <w:color w:val="000000"/>
          <w:sz w:val="24"/>
          <w:szCs w:val="24"/>
        </w:rPr>
        <w:t>the following</w:t>
      </w:r>
      <w:r w:rsidR="00CD4248" w:rsidRPr="00AD7DD7">
        <w:rPr>
          <w:rFonts w:ascii="Calibri" w:eastAsia="Times New Roman" w:hAnsi="Calibri" w:cs="Times New Roman"/>
          <w:color w:val="000000"/>
          <w:sz w:val="24"/>
          <w:szCs w:val="24"/>
        </w:rPr>
        <w:t xml:space="preserve"> </w:t>
      </w:r>
      <w:r w:rsidR="00466185" w:rsidRPr="00AD7DD7">
        <w:rPr>
          <w:rFonts w:ascii="Calibri" w:eastAsia="Times New Roman" w:hAnsi="Calibri" w:cs="Times New Roman"/>
          <w:color w:val="000000"/>
          <w:sz w:val="24"/>
          <w:szCs w:val="24"/>
        </w:rPr>
        <w:t xml:space="preserve">Material Accounting Changes implemented </w:t>
      </w:r>
      <w:r w:rsidRPr="00AD7DD7">
        <w:rPr>
          <w:rFonts w:ascii="Calibri" w:eastAsia="Times New Roman" w:hAnsi="Calibri" w:cs="Times New Roman"/>
          <w:color w:val="000000"/>
          <w:sz w:val="24"/>
          <w:szCs w:val="24"/>
        </w:rPr>
        <w:t>post calendar year</w:t>
      </w:r>
      <w:r w:rsidR="00466185" w:rsidRPr="00AD7DD7">
        <w:rPr>
          <w:rFonts w:ascii="Calibri" w:eastAsia="Times New Roman" w:hAnsi="Calibri" w:cs="Times New Roman"/>
          <w:color w:val="000000"/>
          <w:sz w:val="24"/>
          <w:szCs w:val="24"/>
        </w:rPr>
        <w:t xml:space="preserve"> 20</w:t>
      </w:r>
      <w:r w:rsidR="00AB0136" w:rsidRPr="00AD7DD7">
        <w:rPr>
          <w:rFonts w:ascii="Calibri" w:eastAsia="Times New Roman" w:hAnsi="Calibri" w:cs="Times New Roman"/>
          <w:color w:val="000000"/>
          <w:sz w:val="24"/>
          <w:szCs w:val="24"/>
        </w:rPr>
        <w:t>2</w:t>
      </w:r>
      <w:r w:rsidR="001732A1">
        <w:rPr>
          <w:rFonts w:ascii="Calibri" w:eastAsia="Times New Roman" w:hAnsi="Calibri" w:cs="Times New Roman"/>
          <w:color w:val="000000"/>
          <w:sz w:val="24"/>
          <w:szCs w:val="24"/>
        </w:rPr>
        <w:t>3</w:t>
      </w:r>
      <w:r w:rsidR="00466185" w:rsidRPr="00AD7DD7">
        <w:rPr>
          <w:rFonts w:ascii="Calibri" w:eastAsia="Times New Roman" w:hAnsi="Calibri" w:cs="Times New Roman"/>
          <w:color w:val="000000"/>
          <w:sz w:val="24"/>
          <w:szCs w:val="24"/>
        </w:rPr>
        <w:t xml:space="preserve"> that impact the recorded 20</w:t>
      </w:r>
      <w:r w:rsidR="00394025" w:rsidRPr="00AD7DD7">
        <w:rPr>
          <w:rFonts w:ascii="Calibri" w:eastAsia="Times New Roman" w:hAnsi="Calibri" w:cs="Times New Roman"/>
          <w:color w:val="000000"/>
          <w:sz w:val="24"/>
          <w:szCs w:val="24"/>
        </w:rPr>
        <w:t>2</w:t>
      </w:r>
      <w:r w:rsidR="001732A1">
        <w:rPr>
          <w:rFonts w:ascii="Calibri" w:eastAsia="Times New Roman" w:hAnsi="Calibri" w:cs="Times New Roman"/>
          <w:color w:val="000000"/>
          <w:sz w:val="24"/>
          <w:szCs w:val="24"/>
        </w:rPr>
        <w:t>4</w:t>
      </w:r>
      <w:r w:rsidR="00466185" w:rsidRPr="00AD7DD7">
        <w:rPr>
          <w:rFonts w:ascii="Calibri" w:eastAsia="Times New Roman" w:hAnsi="Calibri" w:cs="Times New Roman"/>
          <w:color w:val="000000"/>
          <w:sz w:val="24"/>
          <w:szCs w:val="24"/>
        </w:rPr>
        <w:t xml:space="preserve"> </w:t>
      </w:r>
      <w:r w:rsidR="00583B54" w:rsidRPr="00AD7DD7">
        <w:rPr>
          <w:rFonts w:ascii="Calibri" w:eastAsia="Times New Roman" w:hAnsi="Calibri" w:cs="Times New Roman"/>
          <w:color w:val="000000"/>
          <w:sz w:val="24"/>
          <w:szCs w:val="24"/>
        </w:rPr>
        <w:t xml:space="preserve">calendar </w:t>
      </w:r>
      <w:r w:rsidR="00466185" w:rsidRPr="00AD7DD7">
        <w:rPr>
          <w:rFonts w:ascii="Calibri" w:eastAsia="Times New Roman" w:hAnsi="Calibri" w:cs="Times New Roman"/>
          <w:color w:val="000000"/>
          <w:sz w:val="24"/>
          <w:szCs w:val="24"/>
        </w:rPr>
        <w:t>year</w:t>
      </w:r>
      <w:r w:rsidR="00394025" w:rsidRPr="00AD7DD7">
        <w:rPr>
          <w:rFonts w:ascii="Calibri" w:eastAsia="Times New Roman" w:hAnsi="Calibri" w:cs="Times New Roman"/>
          <w:color w:val="000000"/>
          <w:sz w:val="24"/>
          <w:szCs w:val="24"/>
        </w:rPr>
        <w:t xml:space="preserve"> expenses</w:t>
      </w:r>
      <w:r w:rsidRPr="00AD7DD7">
        <w:rPr>
          <w:rFonts w:ascii="Calibri" w:eastAsia="Times New Roman" w:hAnsi="Calibri" w:cs="Times New Roman"/>
          <w:color w:val="000000"/>
          <w:sz w:val="24"/>
          <w:szCs w:val="24"/>
        </w:rPr>
        <w:t xml:space="preserve"> and meet the above criteria</w:t>
      </w:r>
      <w:r w:rsidR="00465536" w:rsidRPr="00AD7DD7">
        <w:rPr>
          <w:rFonts w:ascii="Calibri" w:eastAsia="Times New Roman" w:hAnsi="Calibri" w:cs="Times New Roman"/>
          <w:color w:val="000000"/>
          <w:sz w:val="24"/>
          <w:szCs w:val="24"/>
        </w:rPr>
        <w:t>:</w:t>
      </w:r>
    </w:p>
    <w:p w14:paraId="28EAC961" w14:textId="77777777" w:rsidR="005D1547" w:rsidRDefault="005D1547" w:rsidP="005D1547">
      <w:pPr>
        <w:pStyle w:val="ListParagraph"/>
        <w:rPr>
          <w:rFonts w:eastAsia="Times New Roman"/>
          <w:sz w:val="24"/>
          <w:szCs w:val="24"/>
        </w:rPr>
      </w:pPr>
    </w:p>
    <w:p w14:paraId="6FEEFF3F" w14:textId="77F6DC3E" w:rsidR="003F3998" w:rsidRPr="00A333E5" w:rsidRDefault="00480DE8" w:rsidP="003F3998">
      <w:pPr>
        <w:pStyle w:val="ListParagraph"/>
        <w:numPr>
          <w:ilvl w:val="0"/>
          <w:numId w:val="4"/>
        </w:numPr>
        <w:rPr>
          <w:rFonts w:ascii="Calibri" w:hAnsi="Calibri" w:cs="Calibri"/>
          <w:sz w:val="24"/>
          <w:szCs w:val="24"/>
        </w:rPr>
      </w:pPr>
      <w:r w:rsidRPr="00A333E5">
        <w:rPr>
          <w:rFonts w:ascii="Calibri" w:hAnsi="Calibri" w:cs="Calibri"/>
          <w:sz w:val="24"/>
          <w:szCs w:val="24"/>
        </w:rPr>
        <w:t>SCE is making the following disclosure</w:t>
      </w:r>
      <w:r w:rsidR="006B435D" w:rsidRPr="00A333E5">
        <w:rPr>
          <w:rFonts w:ascii="Calibri" w:hAnsi="Calibri" w:cs="Calibri"/>
          <w:sz w:val="24"/>
          <w:szCs w:val="24"/>
        </w:rPr>
        <w:t xml:space="preserve"> of a Material Accounting Change, which</w:t>
      </w:r>
      <w:r w:rsidRPr="00A333E5">
        <w:rPr>
          <w:rFonts w:ascii="Calibri" w:hAnsi="Calibri" w:cs="Calibri"/>
          <w:sz w:val="24"/>
          <w:szCs w:val="24"/>
        </w:rPr>
        <w:t xml:space="preserve"> was inadvertently omitted </w:t>
      </w:r>
      <w:r w:rsidR="006B435D" w:rsidRPr="00A333E5">
        <w:rPr>
          <w:rFonts w:ascii="Calibri" w:hAnsi="Calibri" w:cs="Calibri"/>
          <w:sz w:val="24"/>
          <w:szCs w:val="24"/>
        </w:rPr>
        <w:t>from SCE’s</w:t>
      </w:r>
      <w:r w:rsidRPr="00A333E5">
        <w:rPr>
          <w:rFonts w:ascii="Calibri" w:hAnsi="Calibri" w:cs="Calibri"/>
          <w:sz w:val="24"/>
          <w:szCs w:val="24"/>
        </w:rPr>
        <w:t xml:space="preserve"> TO2025</w:t>
      </w:r>
      <w:r w:rsidR="006B435D" w:rsidRPr="00A333E5">
        <w:rPr>
          <w:rFonts w:ascii="Calibri" w:hAnsi="Calibri" w:cs="Calibri"/>
          <w:sz w:val="24"/>
          <w:szCs w:val="24"/>
        </w:rPr>
        <w:t xml:space="preserve"> Draft Annual Update</w:t>
      </w:r>
      <w:r w:rsidRPr="00A333E5">
        <w:rPr>
          <w:rFonts w:ascii="Calibri" w:hAnsi="Calibri" w:cs="Calibri"/>
          <w:sz w:val="24"/>
          <w:szCs w:val="24"/>
        </w:rPr>
        <w:t xml:space="preserve">.  </w:t>
      </w:r>
      <w:r w:rsidR="003F3998" w:rsidRPr="00A333E5">
        <w:rPr>
          <w:rFonts w:ascii="Calibri" w:hAnsi="Calibri" w:cs="Calibri"/>
          <w:sz w:val="24"/>
          <w:szCs w:val="24"/>
        </w:rPr>
        <w:t xml:space="preserve">In 2023, SCE implemented an accounting change in response to several audit findings by the Federal Energy Regulatory Commission (FERC) regarding the classification of allocated support costs associated with services provided by a parent or affiliated company. </w:t>
      </w:r>
      <w:r w:rsidR="00BA686D">
        <w:rPr>
          <w:rFonts w:ascii="Calibri" w:hAnsi="Calibri" w:cs="Calibri"/>
          <w:sz w:val="24"/>
          <w:szCs w:val="24"/>
        </w:rPr>
        <w:t xml:space="preserve"> </w:t>
      </w:r>
      <w:r w:rsidR="003F3998" w:rsidRPr="00A333E5">
        <w:rPr>
          <w:rFonts w:ascii="Calibri" w:hAnsi="Calibri" w:cs="Calibri"/>
          <w:sz w:val="24"/>
          <w:szCs w:val="24"/>
        </w:rPr>
        <w:t xml:space="preserve">Between 2021 and 2022, FERC audits identified misclassifications of various expenses by at least three utility companies, which had recorded these expenses in Account 923, Outside Services Employed. </w:t>
      </w:r>
      <w:r w:rsidR="3A68087C" w:rsidRPr="00A333E5">
        <w:rPr>
          <w:rFonts w:ascii="Calibri" w:hAnsi="Calibri" w:cs="Calibri"/>
          <w:sz w:val="24"/>
          <w:szCs w:val="24"/>
        </w:rPr>
        <w:t xml:space="preserve"> The audits concluded</w:t>
      </w:r>
      <w:r w:rsidR="00717DC2" w:rsidRPr="00A333E5">
        <w:rPr>
          <w:rFonts w:ascii="Calibri" w:hAnsi="Calibri" w:cs="Calibri"/>
          <w:sz w:val="24"/>
          <w:szCs w:val="24"/>
        </w:rPr>
        <w:t xml:space="preserve"> t</w:t>
      </w:r>
      <w:r w:rsidR="003F3998" w:rsidRPr="00A333E5">
        <w:rPr>
          <w:rFonts w:ascii="Calibri" w:hAnsi="Calibri" w:cs="Calibri"/>
          <w:sz w:val="24"/>
          <w:szCs w:val="24"/>
        </w:rPr>
        <w:t>hese expenses should have been classified based on the nature of the activity.</w:t>
      </w:r>
    </w:p>
    <w:p w14:paraId="3EC305EE" w14:textId="77777777" w:rsidR="003F3998" w:rsidRPr="00A333E5" w:rsidRDefault="003F3998" w:rsidP="003F3998">
      <w:pPr>
        <w:pStyle w:val="ListParagraph"/>
        <w:rPr>
          <w:rFonts w:ascii="Calibri" w:hAnsi="Calibri" w:cs="Calibri"/>
          <w:sz w:val="24"/>
          <w:szCs w:val="24"/>
        </w:rPr>
      </w:pPr>
    </w:p>
    <w:p w14:paraId="2EE8C5FE" w14:textId="0DC83B2F" w:rsidR="00380825" w:rsidRPr="00A333E5" w:rsidRDefault="003F3998" w:rsidP="00A333E5">
      <w:pPr>
        <w:pStyle w:val="ListParagraph"/>
        <w:rPr>
          <w:rFonts w:ascii="Calibri" w:hAnsi="Calibri" w:cs="Calibri"/>
          <w:sz w:val="24"/>
          <w:szCs w:val="24"/>
        </w:rPr>
      </w:pPr>
      <w:r w:rsidRPr="00A333E5">
        <w:rPr>
          <w:rFonts w:ascii="Calibri" w:hAnsi="Calibri" w:cs="Calibri"/>
          <w:sz w:val="24"/>
          <w:szCs w:val="24"/>
        </w:rPr>
        <w:t xml:space="preserve">To address these findings, SCE proactively revised its accounting policies and procedures in 2023 to ensure that all directly assigned and allocated </w:t>
      </w:r>
      <w:r w:rsidR="00EF4655" w:rsidRPr="00A333E5">
        <w:rPr>
          <w:rFonts w:ascii="Calibri" w:hAnsi="Calibri" w:cs="Calibri"/>
          <w:sz w:val="24"/>
          <w:szCs w:val="24"/>
        </w:rPr>
        <w:t xml:space="preserve">parent or affiliated company </w:t>
      </w:r>
      <w:r w:rsidRPr="00A333E5">
        <w:rPr>
          <w:rFonts w:ascii="Calibri" w:hAnsi="Calibri" w:cs="Calibri"/>
          <w:sz w:val="24"/>
          <w:szCs w:val="24"/>
        </w:rPr>
        <w:t xml:space="preserve">costs are accurately tracked, reviewed, and recorded. </w:t>
      </w:r>
      <w:r w:rsidR="00BA686D">
        <w:rPr>
          <w:rFonts w:ascii="Calibri" w:hAnsi="Calibri" w:cs="Calibri"/>
          <w:sz w:val="24"/>
          <w:szCs w:val="24"/>
        </w:rPr>
        <w:t xml:space="preserve"> </w:t>
      </w:r>
      <w:r w:rsidRPr="00A333E5">
        <w:rPr>
          <w:rFonts w:ascii="Calibri" w:hAnsi="Calibri" w:cs="Calibri"/>
          <w:sz w:val="24"/>
          <w:szCs w:val="24"/>
        </w:rPr>
        <w:t xml:space="preserve">This revision ensures that Operations &amp; Maintenance (O&amp;M), Administrative &amp; General (A&amp;G), and nonoperating </w:t>
      </w:r>
      <w:r w:rsidRPr="00A333E5">
        <w:rPr>
          <w:rFonts w:ascii="Calibri" w:hAnsi="Calibri" w:cs="Calibri"/>
          <w:sz w:val="24"/>
          <w:szCs w:val="24"/>
        </w:rPr>
        <w:lastRenderedPageBreak/>
        <w:t xml:space="preserve">expenses are recorded in the appropriate accounts based on the nature of the cost, in compliance with 18 C.F.R. Part 201, General Instruction No. 14 (GI No. 14), Transactions with Associated Companies. </w:t>
      </w:r>
      <w:r w:rsidR="00BA686D">
        <w:rPr>
          <w:rFonts w:ascii="Calibri" w:hAnsi="Calibri" w:cs="Calibri"/>
          <w:sz w:val="24"/>
          <w:szCs w:val="24"/>
        </w:rPr>
        <w:t xml:space="preserve"> </w:t>
      </w:r>
      <w:r w:rsidRPr="00A333E5">
        <w:rPr>
          <w:rFonts w:ascii="Calibri" w:hAnsi="Calibri" w:cs="Calibri"/>
          <w:sz w:val="24"/>
          <w:szCs w:val="24"/>
        </w:rPr>
        <w:t>The reclassifications resulting from this review affected the A&amp;G Capitalization base</w:t>
      </w:r>
      <w:r w:rsidR="00527061" w:rsidRPr="00A333E5">
        <w:rPr>
          <w:rFonts w:ascii="Calibri" w:hAnsi="Calibri" w:cs="Calibri"/>
          <w:sz w:val="24"/>
          <w:szCs w:val="24"/>
        </w:rPr>
        <w:t xml:space="preserve"> because </w:t>
      </w:r>
      <w:r w:rsidR="002C19F8" w:rsidRPr="00A333E5">
        <w:rPr>
          <w:rFonts w:ascii="Calibri" w:hAnsi="Calibri" w:cs="Calibri"/>
          <w:sz w:val="24"/>
          <w:szCs w:val="24"/>
        </w:rPr>
        <w:t>beginning in 2023</w:t>
      </w:r>
      <w:r w:rsidR="00527061" w:rsidRPr="00A333E5">
        <w:rPr>
          <w:rFonts w:ascii="Calibri" w:hAnsi="Calibri" w:cs="Calibri"/>
          <w:sz w:val="24"/>
          <w:szCs w:val="24"/>
        </w:rPr>
        <w:t xml:space="preserve"> applicable costs </w:t>
      </w:r>
      <w:r w:rsidR="00A4506A" w:rsidRPr="00A333E5">
        <w:rPr>
          <w:rFonts w:ascii="Calibri" w:hAnsi="Calibri" w:cs="Calibri"/>
          <w:sz w:val="24"/>
          <w:szCs w:val="24"/>
        </w:rPr>
        <w:t>are</w:t>
      </w:r>
      <w:r w:rsidR="00527061" w:rsidRPr="00A333E5">
        <w:rPr>
          <w:rFonts w:ascii="Calibri" w:hAnsi="Calibri" w:cs="Calibri"/>
          <w:sz w:val="24"/>
          <w:szCs w:val="24"/>
        </w:rPr>
        <w:t xml:space="preserve"> recorded to native accounts that may be subject to capitalization, whereas Account 923 is not</w:t>
      </w:r>
      <w:r w:rsidRPr="00A333E5">
        <w:rPr>
          <w:rFonts w:ascii="Calibri" w:hAnsi="Calibri" w:cs="Calibri"/>
          <w:sz w:val="24"/>
          <w:szCs w:val="24"/>
        </w:rPr>
        <w:t xml:space="preserve">. </w:t>
      </w:r>
      <w:r w:rsidR="00BA686D">
        <w:rPr>
          <w:rFonts w:ascii="Calibri" w:hAnsi="Calibri" w:cs="Calibri"/>
          <w:sz w:val="24"/>
          <w:szCs w:val="24"/>
        </w:rPr>
        <w:t xml:space="preserve"> </w:t>
      </w:r>
      <w:r w:rsidRPr="00A333E5">
        <w:rPr>
          <w:rFonts w:ascii="Calibri" w:hAnsi="Calibri" w:cs="Calibri"/>
          <w:sz w:val="24"/>
          <w:szCs w:val="24"/>
        </w:rPr>
        <w:t>This change was necessary to ensure compliance with FERC's accounting regulations and to improve the accuracy of financial reporting.</w:t>
      </w:r>
    </w:p>
    <w:p w14:paraId="30B5674C" w14:textId="77777777" w:rsidR="00500802" w:rsidRDefault="00500802" w:rsidP="00980171">
      <w:pPr>
        <w:pStyle w:val="ListParagraph"/>
        <w:rPr>
          <w:rFonts w:ascii="Calibri" w:eastAsia="Times New Roman" w:hAnsi="Calibri" w:cs="Times New Roman"/>
          <w:color w:val="000000"/>
          <w:sz w:val="24"/>
          <w:szCs w:val="24"/>
        </w:rPr>
      </w:pPr>
    </w:p>
    <w:p w14:paraId="707FA0B6" w14:textId="7F42A02B" w:rsidR="00EC7A7D" w:rsidRPr="00EC7A7D" w:rsidRDefault="00EC7A7D" w:rsidP="00EC7A7D">
      <w:pPr>
        <w:pStyle w:val="ListParagraph"/>
        <w:numPr>
          <w:ilvl w:val="0"/>
          <w:numId w:val="4"/>
        </w:numPr>
        <w:rPr>
          <w:rFonts w:ascii="Calibri" w:eastAsia="Times New Roman" w:hAnsi="Calibri" w:cs="Times New Roman"/>
          <w:color w:val="000000" w:themeColor="text1"/>
          <w:sz w:val="24"/>
          <w:szCs w:val="24"/>
        </w:rPr>
      </w:pPr>
      <w:r w:rsidRPr="00EC7A7D">
        <w:rPr>
          <w:rFonts w:ascii="Calibri" w:eastAsia="Times New Roman" w:hAnsi="Calibri" w:cs="Times New Roman"/>
          <w:color w:val="000000" w:themeColor="text1"/>
          <w:sz w:val="24"/>
          <w:szCs w:val="24"/>
        </w:rPr>
        <w:t xml:space="preserve">In 2024, SCE changed its method for calculating the long-term debt balance of its AFUDC rate from “Net of Proceeds” (i.e., net of debt-financing expenses) to “Gross of Proceeds.”  SCE continues to believe that its prior use of the Net of Proceeds method was consistent with Commission policy set forth in Order No. 561 and the Uniform System of Accounts; and that SCE’s calculation of the long-term debt component of AFUDC using a Net of Proceeds method was validated in its most recent audit report (FA20-1), which did not identify any accounting error relating to this issue.  However, SCE is aware of other recent </w:t>
      </w:r>
      <w:r w:rsidR="00BA686D">
        <w:rPr>
          <w:rFonts w:ascii="Calibri" w:eastAsia="Times New Roman" w:hAnsi="Calibri" w:cs="Times New Roman"/>
          <w:color w:val="000000" w:themeColor="text1"/>
          <w:sz w:val="24"/>
          <w:szCs w:val="24"/>
        </w:rPr>
        <w:t xml:space="preserve">FERC </w:t>
      </w:r>
      <w:r w:rsidRPr="00EC7A7D">
        <w:rPr>
          <w:rFonts w:ascii="Calibri" w:eastAsia="Times New Roman" w:hAnsi="Calibri" w:cs="Times New Roman"/>
          <w:color w:val="000000" w:themeColor="text1"/>
          <w:sz w:val="24"/>
          <w:szCs w:val="24"/>
        </w:rPr>
        <w:t xml:space="preserve">audit reports that have found that the long-term debt component of AFUDC should be calculated on a Gross Proceeds basis.  Therefore, SCE proactively changed its method for calculating the long-term debt component of AFUDC from Net of Proceeds to Gross of Proceeds. </w:t>
      </w:r>
      <w:r w:rsidR="00BA686D">
        <w:rPr>
          <w:rFonts w:ascii="Calibri" w:eastAsia="Times New Roman" w:hAnsi="Calibri" w:cs="Times New Roman"/>
          <w:color w:val="000000" w:themeColor="text1"/>
          <w:sz w:val="24"/>
          <w:szCs w:val="24"/>
        </w:rPr>
        <w:t xml:space="preserve"> </w:t>
      </w:r>
      <w:r w:rsidRPr="00EC7A7D">
        <w:rPr>
          <w:rFonts w:ascii="Calibri" w:eastAsia="Times New Roman" w:hAnsi="Calibri" w:cs="Times New Roman"/>
          <w:color w:val="000000" w:themeColor="text1"/>
          <w:sz w:val="24"/>
          <w:szCs w:val="24"/>
        </w:rPr>
        <w:t>This issue remains pending before the Commission in D</w:t>
      </w:r>
      <w:r w:rsidR="00BA686D">
        <w:rPr>
          <w:rFonts w:ascii="Calibri" w:eastAsia="Times New Roman" w:hAnsi="Calibri" w:cs="Times New Roman"/>
          <w:color w:val="000000" w:themeColor="text1"/>
          <w:sz w:val="24"/>
          <w:szCs w:val="24"/>
        </w:rPr>
        <w:t>oc</w:t>
      </w:r>
      <w:r w:rsidRPr="00EC7A7D">
        <w:rPr>
          <w:rFonts w:ascii="Calibri" w:eastAsia="Times New Roman" w:hAnsi="Calibri" w:cs="Times New Roman"/>
          <w:color w:val="000000" w:themeColor="text1"/>
          <w:sz w:val="24"/>
          <w:szCs w:val="24"/>
        </w:rPr>
        <w:t>k</w:t>
      </w:r>
      <w:r w:rsidR="00BA686D">
        <w:rPr>
          <w:rFonts w:ascii="Calibri" w:eastAsia="Times New Roman" w:hAnsi="Calibri" w:cs="Times New Roman"/>
          <w:color w:val="000000" w:themeColor="text1"/>
          <w:sz w:val="24"/>
          <w:szCs w:val="24"/>
        </w:rPr>
        <w:t>e</w:t>
      </w:r>
      <w:r w:rsidRPr="00EC7A7D">
        <w:rPr>
          <w:rFonts w:ascii="Calibri" w:eastAsia="Times New Roman" w:hAnsi="Calibri" w:cs="Times New Roman"/>
          <w:color w:val="000000" w:themeColor="text1"/>
          <w:sz w:val="24"/>
          <w:szCs w:val="24"/>
        </w:rPr>
        <w:t>t. No. ER25-</w:t>
      </w:r>
      <w:proofErr w:type="gramStart"/>
      <w:r w:rsidRPr="00EC7A7D">
        <w:rPr>
          <w:rFonts w:ascii="Calibri" w:eastAsia="Times New Roman" w:hAnsi="Calibri" w:cs="Times New Roman"/>
          <w:color w:val="000000" w:themeColor="text1"/>
          <w:sz w:val="24"/>
          <w:szCs w:val="24"/>
        </w:rPr>
        <w:t>550, and</w:t>
      </w:r>
      <w:proofErr w:type="gramEnd"/>
      <w:r w:rsidRPr="00EC7A7D">
        <w:rPr>
          <w:rFonts w:ascii="Calibri" w:eastAsia="Times New Roman" w:hAnsi="Calibri" w:cs="Times New Roman"/>
          <w:color w:val="000000" w:themeColor="text1"/>
          <w:sz w:val="24"/>
          <w:szCs w:val="24"/>
        </w:rPr>
        <w:t xml:space="preserve"> should the Commission find that the long-term debt component of AFUDC </w:t>
      </w:r>
      <w:r w:rsidR="00140BD1">
        <w:rPr>
          <w:rFonts w:ascii="Calibri" w:eastAsia="Times New Roman" w:hAnsi="Calibri" w:cs="Times New Roman"/>
          <w:color w:val="000000" w:themeColor="text1"/>
          <w:sz w:val="24"/>
          <w:szCs w:val="24"/>
        </w:rPr>
        <w:t>can</w:t>
      </w:r>
      <w:r w:rsidRPr="00EC7A7D">
        <w:rPr>
          <w:rFonts w:ascii="Calibri" w:eastAsia="Times New Roman" w:hAnsi="Calibri" w:cs="Times New Roman"/>
          <w:color w:val="000000" w:themeColor="text1"/>
          <w:sz w:val="24"/>
          <w:szCs w:val="24"/>
        </w:rPr>
        <w:t xml:space="preserve"> be calculated using a Net of Proceeds method, then SCE will </w:t>
      </w:r>
      <w:proofErr w:type="gramStart"/>
      <w:r w:rsidRPr="00EC7A7D">
        <w:rPr>
          <w:rFonts w:ascii="Calibri" w:eastAsia="Times New Roman" w:hAnsi="Calibri" w:cs="Times New Roman"/>
          <w:color w:val="000000" w:themeColor="text1"/>
          <w:sz w:val="24"/>
          <w:szCs w:val="24"/>
        </w:rPr>
        <w:t>revert back</w:t>
      </w:r>
      <w:proofErr w:type="gramEnd"/>
      <w:r w:rsidRPr="00EC7A7D">
        <w:rPr>
          <w:rFonts w:ascii="Calibri" w:eastAsia="Times New Roman" w:hAnsi="Calibri" w:cs="Times New Roman"/>
          <w:color w:val="000000" w:themeColor="text1"/>
          <w:sz w:val="24"/>
          <w:szCs w:val="24"/>
        </w:rPr>
        <w:t xml:space="preserve"> to this methodology.  </w:t>
      </w:r>
    </w:p>
    <w:p w14:paraId="34DA1274" w14:textId="4FFE7948" w:rsidR="00380825" w:rsidRPr="00A53220" w:rsidRDefault="00380825" w:rsidP="00EC7A7D">
      <w:pPr>
        <w:pStyle w:val="ListParagraph"/>
        <w:rPr>
          <w:rFonts w:ascii="Calibri" w:eastAsia="Times New Roman" w:hAnsi="Calibri" w:cs="Times New Roman"/>
          <w:color w:val="000000"/>
          <w:sz w:val="24"/>
          <w:szCs w:val="24"/>
        </w:rPr>
      </w:pPr>
    </w:p>
    <w:sectPr w:rsidR="00380825" w:rsidRPr="00A5322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FADE7" w14:textId="77777777" w:rsidR="00C74CDF" w:rsidRDefault="00C74CDF" w:rsidP="00466185">
      <w:pPr>
        <w:spacing w:after="0" w:line="240" w:lineRule="auto"/>
      </w:pPr>
      <w:r>
        <w:separator/>
      </w:r>
    </w:p>
  </w:endnote>
  <w:endnote w:type="continuationSeparator" w:id="0">
    <w:p w14:paraId="6FF04525" w14:textId="77777777" w:rsidR="00C74CDF" w:rsidRDefault="00C74CDF" w:rsidP="00466185">
      <w:pPr>
        <w:spacing w:after="0" w:line="240" w:lineRule="auto"/>
      </w:pPr>
      <w:r>
        <w:continuationSeparator/>
      </w:r>
    </w:p>
  </w:endnote>
  <w:endnote w:type="continuationNotice" w:id="1">
    <w:p w14:paraId="737FD33C" w14:textId="77777777" w:rsidR="00C74CDF" w:rsidRDefault="00C74C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A54FD" w14:textId="77777777" w:rsidR="00C74CDF" w:rsidRDefault="00C74CDF" w:rsidP="00466185">
      <w:pPr>
        <w:spacing w:after="0" w:line="240" w:lineRule="auto"/>
      </w:pPr>
      <w:r>
        <w:separator/>
      </w:r>
    </w:p>
  </w:footnote>
  <w:footnote w:type="continuationSeparator" w:id="0">
    <w:p w14:paraId="3DEEBB83" w14:textId="77777777" w:rsidR="00C74CDF" w:rsidRDefault="00C74CDF" w:rsidP="00466185">
      <w:pPr>
        <w:spacing w:after="0" w:line="240" w:lineRule="auto"/>
      </w:pPr>
      <w:r>
        <w:continuationSeparator/>
      </w:r>
    </w:p>
  </w:footnote>
  <w:footnote w:type="continuationNotice" w:id="1">
    <w:p w14:paraId="2CAEDB04" w14:textId="77777777" w:rsidR="00C74CDF" w:rsidRDefault="00C74C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D7390" w14:textId="378DD54D" w:rsidR="00066A7C" w:rsidRDefault="00127C12" w:rsidP="00066A7C">
    <w:pPr>
      <w:pStyle w:val="Header"/>
      <w:jc w:val="right"/>
    </w:pPr>
    <w:r>
      <w:t>TO202</w:t>
    </w:r>
    <w:r w:rsidR="001732A1">
      <w:t>6</w:t>
    </w:r>
    <w:r w:rsidR="00612324">
      <w:t xml:space="preserve"> </w:t>
    </w:r>
    <w:r w:rsidR="00066A7C">
      <w:t>Annual Update</w:t>
    </w:r>
  </w:p>
  <w:p w14:paraId="3597226C" w14:textId="77777777" w:rsidR="00066A7C" w:rsidRDefault="00066A7C" w:rsidP="00066A7C">
    <w:pPr>
      <w:pStyle w:val="Header"/>
      <w:jc w:val="right"/>
    </w:pPr>
    <w:r>
      <w:t>Attachment 4</w:t>
    </w:r>
  </w:p>
  <w:p w14:paraId="5912151B" w14:textId="5E9C7B2B" w:rsidR="00466185" w:rsidRDefault="00066A7C" w:rsidP="00066A7C">
    <w:pPr>
      <w:pStyle w:val="Header"/>
      <w:jc w:val="right"/>
    </w:pPr>
    <w:r>
      <w:t>WP-Material Accounting Changes</w:t>
    </w:r>
  </w:p>
  <w:p w14:paraId="5912151E" w14:textId="6666E40A" w:rsidR="00466185" w:rsidRPr="00DD0216" w:rsidRDefault="00140BD1" w:rsidP="00466185">
    <w:pPr>
      <w:pStyle w:val="Header"/>
      <w:jc w:val="right"/>
      <w:rPr>
        <w:sz w:val="28"/>
      </w:rPr>
    </w:pPr>
    <w:sdt>
      <w:sdtPr>
        <w:rPr>
          <w:rFonts w:ascii="Times New Roman" w:hAnsi="Times New Roman" w:cs="Times New Roman"/>
          <w:sz w:val="18"/>
          <w:szCs w:val="18"/>
        </w:rPr>
        <w:id w:val="-1318336367"/>
        <w:docPartObj>
          <w:docPartGallery w:val="Page Numbers (Top of Page)"/>
          <w:docPartUnique/>
        </w:docPartObj>
      </w:sdtPr>
      <w:sdtEndPr>
        <w:rPr>
          <w:rFonts w:asciiTheme="minorHAnsi" w:hAnsiTheme="minorHAnsi"/>
          <w:sz w:val="22"/>
        </w:rPr>
      </w:sdtEndPr>
      <w:sdtContent>
        <w:r w:rsidR="00DD0216" w:rsidRPr="00DD0216">
          <w:rPr>
            <w:rFonts w:cs="Times New Roman"/>
            <w:szCs w:val="18"/>
          </w:rPr>
          <w:t xml:space="preserve">Page </w:t>
        </w:r>
        <w:r w:rsidR="00DD0216" w:rsidRPr="00DD0216">
          <w:rPr>
            <w:rFonts w:cs="Times New Roman"/>
            <w:bCs/>
            <w:szCs w:val="18"/>
          </w:rPr>
          <w:fldChar w:fldCharType="begin"/>
        </w:r>
        <w:r w:rsidR="00DD0216" w:rsidRPr="00DD0216">
          <w:rPr>
            <w:rFonts w:cs="Times New Roman"/>
            <w:bCs/>
            <w:szCs w:val="18"/>
          </w:rPr>
          <w:instrText xml:space="preserve"> PAGE </w:instrText>
        </w:r>
        <w:r w:rsidR="00DD0216" w:rsidRPr="00DD0216">
          <w:rPr>
            <w:rFonts w:cs="Times New Roman"/>
            <w:bCs/>
            <w:szCs w:val="18"/>
          </w:rPr>
          <w:fldChar w:fldCharType="separate"/>
        </w:r>
        <w:r w:rsidR="00120641">
          <w:rPr>
            <w:rFonts w:cs="Times New Roman"/>
            <w:bCs/>
            <w:noProof/>
            <w:szCs w:val="18"/>
          </w:rPr>
          <w:t>1</w:t>
        </w:r>
        <w:r w:rsidR="00DD0216" w:rsidRPr="00DD0216">
          <w:rPr>
            <w:rFonts w:cs="Times New Roman"/>
            <w:bCs/>
            <w:szCs w:val="18"/>
          </w:rPr>
          <w:fldChar w:fldCharType="end"/>
        </w:r>
        <w:r w:rsidR="00DD0216" w:rsidRPr="00DD0216">
          <w:rPr>
            <w:rFonts w:cs="Times New Roman"/>
            <w:szCs w:val="18"/>
          </w:rPr>
          <w:t xml:space="preserve"> of </w:t>
        </w:r>
        <w:r w:rsidR="004C2A98" w:rsidRPr="004C2A98">
          <w:rPr>
            <w:rFonts w:cs="Times New Roman"/>
            <w:szCs w:val="18"/>
          </w:rPr>
          <w:fldChar w:fldCharType="begin"/>
        </w:r>
        <w:r w:rsidR="004C2A98" w:rsidRPr="004C2A98">
          <w:rPr>
            <w:rFonts w:cs="Times New Roman"/>
            <w:szCs w:val="18"/>
          </w:rPr>
          <w:instrText xml:space="preserve"> PAGE   \* MERGEFORMAT </w:instrText>
        </w:r>
        <w:r w:rsidR="004C2A98" w:rsidRPr="004C2A98">
          <w:rPr>
            <w:rFonts w:cs="Times New Roman"/>
            <w:szCs w:val="18"/>
          </w:rPr>
          <w:fldChar w:fldCharType="separate"/>
        </w:r>
        <w:r w:rsidR="004C2A98" w:rsidRPr="004C2A98">
          <w:rPr>
            <w:rFonts w:cs="Times New Roman"/>
            <w:noProof/>
            <w:szCs w:val="18"/>
          </w:rPr>
          <w:t>1</w:t>
        </w:r>
        <w:r w:rsidR="004C2A98" w:rsidRPr="004C2A98">
          <w:rPr>
            <w:rFonts w:cs="Times New Roman"/>
            <w:noProof/>
            <w:szCs w:val="18"/>
          </w:rPr>
          <w:fldChar w:fldCharType="end"/>
        </w:r>
      </w:sdtContent>
    </w:sdt>
  </w:p>
  <w:p w14:paraId="5912151F" w14:textId="77777777" w:rsidR="00466185" w:rsidRDefault="00466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4151B"/>
    <w:multiLevelType w:val="hybridMultilevel"/>
    <w:tmpl w:val="D488195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2482493C"/>
    <w:multiLevelType w:val="hybridMultilevel"/>
    <w:tmpl w:val="06B4797A"/>
    <w:lvl w:ilvl="0" w:tplc="5E5A11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1A6F22"/>
    <w:multiLevelType w:val="hybridMultilevel"/>
    <w:tmpl w:val="542CA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436860"/>
    <w:multiLevelType w:val="hybridMultilevel"/>
    <w:tmpl w:val="1DD27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7421647">
    <w:abstractNumId w:val="3"/>
  </w:num>
  <w:num w:numId="2" w16cid:durableId="687174040">
    <w:abstractNumId w:val="1"/>
  </w:num>
  <w:num w:numId="3" w16cid:durableId="1206674195">
    <w:abstractNumId w:val="0"/>
  </w:num>
  <w:num w:numId="4" w16cid:durableId="994606831">
    <w:abstractNumId w:val="2"/>
  </w:num>
  <w:num w:numId="5" w16cid:durableId="1780946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185"/>
    <w:rsid w:val="0000478B"/>
    <w:rsid w:val="00013BF5"/>
    <w:rsid w:val="000222EA"/>
    <w:rsid w:val="00035A15"/>
    <w:rsid w:val="00035DAE"/>
    <w:rsid w:val="000402CA"/>
    <w:rsid w:val="00041CE4"/>
    <w:rsid w:val="0005183F"/>
    <w:rsid w:val="00055F71"/>
    <w:rsid w:val="0005729D"/>
    <w:rsid w:val="0006259C"/>
    <w:rsid w:val="00064A9F"/>
    <w:rsid w:val="00066A7C"/>
    <w:rsid w:val="00073003"/>
    <w:rsid w:val="00080B6B"/>
    <w:rsid w:val="00082486"/>
    <w:rsid w:val="000919E8"/>
    <w:rsid w:val="000A09AC"/>
    <w:rsid w:val="000A32C2"/>
    <w:rsid w:val="000C0609"/>
    <w:rsid w:val="000C1022"/>
    <w:rsid w:val="000C6417"/>
    <w:rsid w:val="000E222B"/>
    <w:rsid w:val="001068C7"/>
    <w:rsid w:val="00106989"/>
    <w:rsid w:val="0011027C"/>
    <w:rsid w:val="00120641"/>
    <w:rsid w:val="00127C12"/>
    <w:rsid w:val="00134890"/>
    <w:rsid w:val="00140BD1"/>
    <w:rsid w:val="001459C6"/>
    <w:rsid w:val="00147A59"/>
    <w:rsid w:val="00152672"/>
    <w:rsid w:val="0016014B"/>
    <w:rsid w:val="00163DFA"/>
    <w:rsid w:val="00164C94"/>
    <w:rsid w:val="001656C9"/>
    <w:rsid w:val="001732A1"/>
    <w:rsid w:val="0017626A"/>
    <w:rsid w:val="001825BD"/>
    <w:rsid w:val="001910BA"/>
    <w:rsid w:val="00197CA0"/>
    <w:rsid w:val="001A13A0"/>
    <w:rsid w:val="001A3B3C"/>
    <w:rsid w:val="001A7AD1"/>
    <w:rsid w:val="001D7652"/>
    <w:rsid w:val="001D7EA5"/>
    <w:rsid w:val="001E06DF"/>
    <w:rsid w:val="001E2FD2"/>
    <w:rsid w:val="001E3D86"/>
    <w:rsid w:val="001E4E3F"/>
    <w:rsid w:val="00200D40"/>
    <w:rsid w:val="002068EE"/>
    <w:rsid w:val="00207C2F"/>
    <w:rsid w:val="00210665"/>
    <w:rsid w:val="00222371"/>
    <w:rsid w:val="002231AC"/>
    <w:rsid w:val="0022579B"/>
    <w:rsid w:val="002402E8"/>
    <w:rsid w:val="0024083B"/>
    <w:rsid w:val="00252C39"/>
    <w:rsid w:val="00257311"/>
    <w:rsid w:val="00262519"/>
    <w:rsid w:val="002825C6"/>
    <w:rsid w:val="00287D46"/>
    <w:rsid w:val="00290ECE"/>
    <w:rsid w:val="002915DF"/>
    <w:rsid w:val="0029307D"/>
    <w:rsid w:val="00293105"/>
    <w:rsid w:val="002A0291"/>
    <w:rsid w:val="002A454D"/>
    <w:rsid w:val="002C19F8"/>
    <w:rsid w:val="002C2F9E"/>
    <w:rsid w:val="002D2497"/>
    <w:rsid w:val="002F2A16"/>
    <w:rsid w:val="002F3482"/>
    <w:rsid w:val="0030557C"/>
    <w:rsid w:val="00313E8E"/>
    <w:rsid w:val="0032169C"/>
    <w:rsid w:val="003332CA"/>
    <w:rsid w:val="00345C2F"/>
    <w:rsid w:val="00347129"/>
    <w:rsid w:val="00357C86"/>
    <w:rsid w:val="00360FCC"/>
    <w:rsid w:val="00370769"/>
    <w:rsid w:val="00380825"/>
    <w:rsid w:val="00387D91"/>
    <w:rsid w:val="00391EF6"/>
    <w:rsid w:val="00392CFC"/>
    <w:rsid w:val="00394025"/>
    <w:rsid w:val="003978B8"/>
    <w:rsid w:val="003B4E05"/>
    <w:rsid w:val="003B7D06"/>
    <w:rsid w:val="003C7E75"/>
    <w:rsid w:val="003E0E91"/>
    <w:rsid w:val="003E30F9"/>
    <w:rsid w:val="003E48CF"/>
    <w:rsid w:val="003F06D9"/>
    <w:rsid w:val="003F3998"/>
    <w:rsid w:val="00401A11"/>
    <w:rsid w:val="00405765"/>
    <w:rsid w:val="004072DE"/>
    <w:rsid w:val="004137B9"/>
    <w:rsid w:val="0041624B"/>
    <w:rsid w:val="00420A11"/>
    <w:rsid w:val="00421F34"/>
    <w:rsid w:val="00424572"/>
    <w:rsid w:val="00434E76"/>
    <w:rsid w:val="00436BFD"/>
    <w:rsid w:val="00441AE4"/>
    <w:rsid w:val="00442D10"/>
    <w:rsid w:val="00445956"/>
    <w:rsid w:val="00450FB0"/>
    <w:rsid w:val="00453175"/>
    <w:rsid w:val="00462768"/>
    <w:rsid w:val="00465536"/>
    <w:rsid w:val="00466185"/>
    <w:rsid w:val="00473106"/>
    <w:rsid w:val="00480DE8"/>
    <w:rsid w:val="004C298E"/>
    <w:rsid w:val="004C2A98"/>
    <w:rsid w:val="004C2D9F"/>
    <w:rsid w:val="004C796A"/>
    <w:rsid w:val="004D0DC9"/>
    <w:rsid w:val="004E0E3E"/>
    <w:rsid w:val="004E1148"/>
    <w:rsid w:val="00500802"/>
    <w:rsid w:val="00506F65"/>
    <w:rsid w:val="0050716A"/>
    <w:rsid w:val="00513DAC"/>
    <w:rsid w:val="00524AF4"/>
    <w:rsid w:val="00527061"/>
    <w:rsid w:val="00534645"/>
    <w:rsid w:val="00540635"/>
    <w:rsid w:val="005555BA"/>
    <w:rsid w:val="00560D0D"/>
    <w:rsid w:val="005720C9"/>
    <w:rsid w:val="00580A4C"/>
    <w:rsid w:val="00583B54"/>
    <w:rsid w:val="00590236"/>
    <w:rsid w:val="005934E2"/>
    <w:rsid w:val="00593C3E"/>
    <w:rsid w:val="005B0B52"/>
    <w:rsid w:val="005B1BF3"/>
    <w:rsid w:val="005B7271"/>
    <w:rsid w:val="005D1547"/>
    <w:rsid w:val="005D2670"/>
    <w:rsid w:val="005D38AC"/>
    <w:rsid w:val="005F3213"/>
    <w:rsid w:val="005F6EB3"/>
    <w:rsid w:val="00604294"/>
    <w:rsid w:val="00607B74"/>
    <w:rsid w:val="00612324"/>
    <w:rsid w:val="006177DA"/>
    <w:rsid w:val="00622968"/>
    <w:rsid w:val="00632E6B"/>
    <w:rsid w:val="0063324B"/>
    <w:rsid w:val="00635987"/>
    <w:rsid w:val="00640C14"/>
    <w:rsid w:val="0064597E"/>
    <w:rsid w:val="006513E8"/>
    <w:rsid w:val="00655B68"/>
    <w:rsid w:val="006702FB"/>
    <w:rsid w:val="006A27FE"/>
    <w:rsid w:val="006A595B"/>
    <w:rsid w:val="006A61C9"/>
    <w:rsid w:val="006B1DE7"/>
    <w:rsid w:val="006B435D"/>
    <w:rsid w:val="006B52B8"/>
    <w:rsid w:val="006D3F12"/>
    <w:rsid w:val="006E1DC0"/>
    <w:rsid w:val="007130F2"/>
    <w:rsid w:val="007169AD"/>
    <w:rsid w:val="00717DC2"/>
    <w:rsid w:val="0073111F"/>
    <w:rsid w:val="00731AC5"/>
    <w:rsid w:val="00733DC0"/>
    <w:rsid w:val="0074546E"/>
    <w:rsid w:val="00750C75"/>
    <w:rsid w:val="00753FC3"/>
    <w:rsid w:val="007642F2"/>
    <w:rsid w:val="007648B9"/>
    <w:rsid w:val="0077589B"/>
    <w:rsid w:val="00783F38"/>
    <w:rsid w:val="0078449A"/>
    <w:rsid w:val="00792B0F"/>
    <w:rsid w:val="00792B53"/>
    <w:rsid w:val="007A2AEE"/>
    <w:rsid w:val="007A3CC0"/>
    <w:rsid w:val="007B555A"/>
    <w:rsid w:val="007B5A3A"/>
    <w:rsid w:val="007B6C1E"/>
    <w:rsid w:val="007C3B65"/>
    <w:rsid w:val="007C6852"/>
    <w:rsid w:val="007C7737"/>
    <w:rsid w:val="007D2443"/>
    <w:rsid w:val="007E0AF4"/>
    <w:rsid w:val="007E0EE0"/>
    <w:rsid w:val="007E3DA5"/>
    <w:rsid w:val="007E771C"/>
    <w:rsid w:val="007F0796"/>
    <w:rsid w:val="00822254"/>
    <w:rsid w:val="00826390"/>
    <w:rsid w:val="00830064"/>
    <w:rsid w:val="00831815"/>
    <w:rsid w:val="008357EB"/>
    <w:rsid w:val="008365E5"/>
    <w:rsid w:val="00846717"/>
    <w:rsid w:val="008520C4"/>
    <w:rsid w:val="008618F6"/>
    <w:rsid w:val="00882949"/>
    <w:rsid w:val="00884099"/>
    <w:rsid w:val="008849E8"/>
    <w:rsid w:val="00891882"/>
    <w:rsid w:val="008A3486"/>
    <w:rsid w:val="008A53C3"/>
    <w:rsid w:val="008B7860"/>
    <w:rsid w:val="008C10DF"/>
    <w:rsid w:val="008C46AB"/>
    <w:rsid w:val="008E0A6B"/>
    <w:rsid w:val="008E2C50"/>
    <w:rsid w:val="008F0526"/>
    <w:rsid w:val="0091283C"/>
    <w:rsid w:val="00916D9B"/>
    <w:rsid w:val="00930D03"/>
    <w:rsid w:val="009322BE"/>
    <w:rsid w:val="00940D84"/>
    <w:rsid w:val="0094786E"/>
    <w:rsid w:val="0095000C"/>
    <w:rsid w:val="00966C7D"/>
    <w:rsid w:val="009766BD"/>
    <w:rsid w:val="0097730C"/>
    <w:rsid w:val="00980171"/>
    <w:rsid w:val="00985E77"/>
    <w:rsid w:val="009B6CF6"/>
    <w:rsid w:val="009C4EC5"/>
    <w:rsid w:val="009D2108"/>
    <w:rsid w:val="009E0DDC"/>
    <w:rsid w:val="00A0014E"/>
    <w:rsid w:val="00A04FB6"/>
    <w:rsid w:val="00A07E12"/>
    <w:rsid w:val="00A25720"/>
    <w:rsid w:val="00A2602A"/>
    <w:rsid w:val="00A31D09"/>
    <w:rsid w:val="00A333E5"/>
    <w:rsid w:val="00A35F48"/>
    <w:rsid w:val="00A4506A"/>
    <w:rsid w:val="00A455BC"/>
    <w:rsid w:val="00A53220"/>
    <w:rsid w:val="00A65C34"/>
    <w:rsid w:val="00A87CDD"/>
    <w:rsid w:val="00A97E76"/>
    <w:rsid w:val="00AA195E"/>
    <w:rsid w:val="00AA198F"/>
    <w:rsid w:val="00AA2ABC"/>
    <w:rsid w:val="00AB0136"/>
    <w:rsid w:val="00AB0C3D"/>
    <w:rsid w:val="00AB7F8C"/>
    <w:rsid w:val="00AC0F97"/>
    <w:rsid w:val="00AC1911"/>
    <w:rsid w:val="00AD7DD7"/>
    <w:rsid w:val="00AE7982"/>
    <w:rsid w:val="00B00300"/>
    <w:rsid w:val="00B016CB"/>
    <w:rsid w:val="00B03DA7"/>
    <w:rsid w:val="00B05E51"/>
    <w:rsid w:val="00B16BAB"/>
    <w:rsid w:val="00B314F3"/>
    <w:rsid w:val="00B32F73"/>
    <w:rsid w:val="00B40D9B"/>
    <w:rsid w:val="00B6739B"/>
    <w:rsid w:val="00B82DF5"/>
    <w:rsid w:val="00B91219"/>
    <w:rsid w:val="00B95D23"/>
    <w:rsid w:val="00B97FE4"/>
    <w:rsid w:val="00BA56B8"/>
    <w:rsid w:val="00BA686D"/>
    <w:rsid w:val="00BA77C1"/>
    <w:rsid w:val="00BB5F11"/>
    <w:rsid w:val="00BD3F98"/>
    <w:rsid w:val="00BE58DF"/>
    <w:rsid w:val="00BF4D69"/>
    <w:rsid w:val="00BF5C5C"/>
    <w:rsid w:val="00C057C1"/>
    <w:rsid w:val="00C06ACC"/>
    <w:rsid w:val="00C10E89"/>
    <w:rsid w:val="00C12EC4"/>
    <w:rsid w:val="00C15AD2"/>
    <w:rsid w:val="00C25657"/>
    <w:rsid w:val="00C33B8C"/>
    <w:rsid w:val="00C4150F"/>
    <w:rsid w:val="00C4428A"/>
    <w:rsid w:val="00C46501"/>
    <w:rsid w:val="00C627AA"/>
    <w:rsid w:val="00C64E23"/>
    <w:rsid w:val="00C74CDF"/>
    <w:rsid w:val="00C76139"/>
    <w:rsid w:val="00C90DA4"/>
    <w:rsid w:val="00CC64A8"/>
    <w:rsid w:val="00CD200F"/>
    <w:rsid w:val="00CD4248"/>
    <w:rsid w:val="00CD524B"/>
    <w:rsid w:val="00CD67D4"/>
    <w:rsid w:val="00CF2132"/>
    <w:rsid w:val="00D023F8"/>
    <w:rsid w:val="00D02EF3"/>
    <w:rsid w:val="00D12399"/>
    <w:rsid w:val="00D12B67"/>
    <w:rsid w:val="00D25973"/>
    <w:rsid w:val="00D33FA9"/>
    <w:rsid w:val="00D4182B"/>
    <w:rsid w:val="00D56F95"/>
    <w:rsid w:val="00D67FCA"/>
    <w:rsid w:val="00DB12A6"/>
    <w:rsid w:val="00DB79C1"/>
    <w:rsid w:val="00DC6405"/>
    <w:rsid w:val="00DD0216"/>
    <w:rsid w:val="00DD47D0"/>
    <w:rsid w:val="00E02120"/>
    <w:rsid w:val="00E20E57"/>
    <w:rsid w:val="00E2442D"/>
    <w:rsid w:val="00E27ED4"/>
    <w:rsid w:val="00E31253"/>
    <w:rsid w:val="00E355DD"/>
    <w:rsid w:val="00E44255"/>
    <w:rsid w:val="00E60B5C"/>
    <w:rsid w:val="00E64592"/>
    <w:rsid w:val="00E66216"/>
    <w:rsid w:val="00E71B80"/>
    <w:rsid w:val="00E75306"/>
    <w:rsid w:val="00E75B6C"/>
    <w:rsid w:val="00E77B3F"/>
    <w:rsid w:val="00E81511"/>
    <w:rsid w:val="00E83A1B"/>
    <w:rsid w:val="00E84318"/>
    <w:rsid w:val="00E94337"/>
    <w:rsid w:val="00EB0791"/>
    <w:rsid w:val="00EB49E8"/>
    <w:rsid w:val="00EC2DC8"/>
    <w:rsid w:val="00EC7A7D"/>
    <w:rsid w:val="00ED34B9"/>
    <w:rsid w:val="00ED51BB"/>
    <w:rsid w:val="00ED5D9F"/>
    <w:rsid w:val="00ED6E23"/>
    <w:rsid w:val="00EE3F52"/>
    <w:rsid w:val="00EE5016"/>
    <w:rsid w:val="00EF14FD"/>
    <w:rsid w:val="00EF4655"/>
    <w:rsid w:val="00F0216E"/>
    <w:rsid w:val="00F309B1"/>
    <w:rsid w:val="00F411EB"/>
    <w:rsid w:val="00F45C5C"/>
    <w:rsid w:val="00F5496F"/>
    <w:rsid w:val="00F60480"/>
    <w:rsid w:val="00F91093"/>
    <w:rsid w:val="00F932FB"/>
    <w:rsid w:val="00FA30F7"/>
    <w:rsid w:val="00FA621B"/>
    <w:rsid w:val="00FC45C4"/>
    <w:rsid w:val="00FC6A43"/>
    <w:rsid w:val="00FD4C24"/>
    <w:rsid w:val="00FF16B9"/>
    <w:rsid w:val="00FF4088"/>
    <w:rsid w:val="00FF49C4"/>
    <w:rsid w:val="00FF740C"/>
    <w:rsid w:val="0134CD2E"/>
    <w:rsid w:val="059A5F78"/>
    <w:rsid w:val="06CF96D8"/>
    <w:rsid w:val="0C17D43D"/>
    <w:rsid w:val="0DF7FC3B"/>
    <w:rsid w:val="11DDD5D7"/>
    <w:rsid w:val="189368B4"/>
    <w:rsid w:val="19AEA93C"/>
    <w:rsid w:val="1C3506E2"/>
    <w:rsid w:val="1CBE299F"/>
    <w:rsid w:val="1D19D464"/>
    <w:rsid w:val="1D8DE778"/>
    <w:rsid w:val="1EF0E488"/>
    <w:rsid w:val="215DFE35"/>
    <w:rsid w:val="22E320C6"/>
    <w:rsid w:val="237833A3"/>
    <w:rsid w:val="263AE931"/>
    <w:rsid w:val="2682587F"/>
    <w:rsid w:val="277B4F54"/>
    <w:rsid w:val="281C887F"/>
    <w:rsid w:val="2F731135"/>
    <w:rsid w:val="2FA10E3A"/>
    <w:rsid w:val="35C5FE63"/>
    <w:rsid w:val="3751070F"/>
    <w:rsid w:val="37DD5CED"/>
    <w:rsid w:val="3A68087C"/>
    <w:rsid w:val="3DC3CE10"/>
    <w:rsid w:val="3F8E8AE3"/>
    <w:rsid w:val="42C037AD"/>
    <w:rsid w:val="43141533"/>
    <w:rsid w:val="44D78529"/>
    <w:rsid w:val="472E013F"/>
    <w:rsid w:val="47854789"/>
    <w:rsid w:val="47B56FCC"/>
    <w:rsid w:val="48BD6060"/>
    <w:rsid w:val="48EFCC5F"/>
    <w:rsid w:val="538236F1"/>
    <w:rsid w:val="54B64E6B"/>
    <w:rsid w:val="571BE942"/>
    <w:rsid w:val="5BCBF7F2"/>
    <w:rsid w:val="610FCAA5"/>
    <w:rsid w:val="62D167ED"/>
    <w:rsid w:val="635A17B4"/>
    <w:rsid w:val="64CDDBC8"/>
    <w:rsid w:val="69469B31"/>
    <w:rsid w:val="6B622729"/>
    <w:rsid w:val="6EA041C5"/>
    <w:rsid w:val="6FEE0B83"/>
    <w:rsid w:val="71F5CC28"/>
    <w:rsid w:val="7417C01E"/>
    <w:rsid w:val="741D2947"/>
    <w:rsid w:val="7694BFD7"/>
    <w:rsid w:val="76D06DE3"/>
    <w:rsid w:val="77740034"/>
    <w:rsid w:val="787C3411"/>
    <w:rsid w:val="7A8C249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2150D"/>
  <w15:chartTrackingRefBased/>
  <w15:docId w15:val="{2F4F9093-7C50-4A05-A59D-93CDE04F8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 w:type="character" w:styleId="CommentReference">
    <w:name w:val="annotation reference"/>
    <w:basedOn w:val="DefaultParagraphFont"/>
    <w:uiPriority w:val="99"/>
    <w:semiHidden/>
    <w:unhideWhenUsed/>
    <w:rsid w:val="00E2442D"/>
    <w:rPr>
      <w:sz w:val="16"/>
      <w:szCs w:val="16"/>
    </w:rPr>
  </w:style>
  <w:style w:type="paragraph" w:styleId="CommentText">
    <w:name w:val="annotation text"/>
    <w:basedOn w:val="Normal"/>
    <w:link w:val="CommentTextChar"/>
    <w:uiPriority w:val="99"/>
    <w:unhideWhenUsed/>
    <w:rsid w:val="00E2442D"/>
    <w:pPr>
      <w:spacing w:line="240" w:lineRule="auto"/>
    </w:pPr>
    <w:rPr>
      <w:sz w:val="20"/>
      <w:szCs w:val="20"/>
    </w:rPr>
  </w:style>
  <w:style w:type="character" w:customStyle="1" w:styleId="CommentTextChar">
    <w:name w:val="Comment Text Char"/>
    <w:basedOn w:val="DefaultParagraphFont"/>
    <w:link w:val="CommentText"/>
    <w:uiPriority w:val="99"/>
    <w:rsid w:val="00E2442D"/>
    <w:rPr>
      <w:sz w:val="20"/>
      <w:szCs w:val="20"/>
    </w:rPr>
  </w:style>
  <w:style w:type="paragraph" w:styleId="CommentSubject">
    <w:name w:val="annotation subject"/>
    <w:basedOn w:val="CommentText"/>
    <w:next w:val="CommentText"/>
    <w:link w:val="CommentSubjectChar"/>
    <w:uiPriority w:val="99"/>
    <w:semiHidden/>
    <w:unhideWhenUsed/>
    <w:rsid w:val="00E2442D"/>
    <w:rPr>
      <w:b/>
      <w:bCs/>
    </w:rPr>
  </w:style>
  <w:style w:type="character" w:customStyle="1" w:styleId="CommentSubjectChar">
    <w:name w:val="Comment Subject Char"/>
    <w:basedOn w:val="CommentTextChar"/>
    <w:link w:val="CommentSubject"/>
    <w:uiPriority w:val="99"/>
    <w:semiHidden/>
    <w:rsid w:val="00E2442D"/>
    <w:rPr>
      <w:b/>
      <w:bCs/>
      <w:sz w:val="20"/>
      <w:szCs w:val="20"/>
    </w:rPr>
  </w:style>
  <w:style w:type="paragraph" w:styleId="ListParagraph">
    <w:name w:val="List Paragraph"/>
    <w:basedOn w:val="Normal"/>
    <w:uiPriority w:val="34"/>
    <w:qFormat/>
    <w:rsid w:val="00FA30F7"/>
    <w:pPr>
      <w:ind w:left="720"/>
      <w:contextualSpacing/>
    </w:pPr>
  </w:style>
  <w:style w:type="character" w:styleId="UnresolvedMention">
    <w:name w:val="Unresolved Mention"/>
    <w:basedOn w:val="DefaultParagraphFont"/>
    <w:uiPriority w:val="99"/>
    <w:unhideWhenUsed/>
    <w:rsid w:val="00035A15"/>
    <w:rPr>
      <w:color w:val="605E5C"/>
      <w:shd w:val="clear" w:color="auto" w:fill="E1DFDD"/>
    </w:rPr>
  </w:style>
  <w:style w:type="character" w:styleId="Mention">
    <w:name w:val="Mention"/>
    <w:basedOn w:val="DefaultParagraphFont"/>
    <w:uiPriority w:val="99"/>
    <w:unhideWhenUsed/>
    <w:rsid w:val="00035A15"/>
    <w:rPr>
      <w:color w:val="2B579A"/>
      <w:shd w:val="clear" w:color="auto" w:fill="E1DFDD"/>
    </w:rPr>
  </w:style>
  <w:style w:type="paragraph" w:styleId="Revision">
    <w:name w:val="Revision"/>
    <w:hidden/>
    <w:uiPriority w:val="99"/>
    <w:semiHidden/>
    <w:rsid w:val="007B6C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5178">
      <w:bodyDiv w:val="1"/>
      <w:marLeft w:val="0"/>
      <w:marRight w:val="0"/>
      <w:marTop w:val="0"/>
      <w:marBottom w:val="0"/>
      <w:divBdr>
        <w:top w:val="none" w:sz="0" w:space="0" w:color="auto"/>
        <w:left w:val="none" w:sz="0" w:space="0" w:color="auto"/>
        <w:bottom w:val="none" w:sz="0" w:space="0" w:color="auto"/>
        <w:right w:val="none" w:sz="0" w:space="0" w:color="auto"/>
      </w:divBdr>
    </w:div>
    <w:div w:id="230124288">
      <w:bodyDiv w:val="1"/>
      <w:marLeft w:val="0"/>
      <w:marRight w:val="0"/>
      <w:marTop w:val="0"/>
      <w:marBottom w:val="0"/>
      <w:divBdr>
        <w:top w:val="none" w:sz="0" w:space="0" w:color="auto"/>
        <w:left w:val="none" w:sz="0" w:space="0" w:color="auto"/>
        <w:bottom w:val="none" w:sz="0" w:space="0" w:color="auto"/>
        <w:right w:val="none" w:sz="0" w:space="0" w:color="auto"/>
      </w:divBdr>
    </w:div>
    <w:div w:id="246497863">
      <w:bodyDiv w:val="1"/>
      <w:marLeft w:val="0"/>
      <w:marRight w:val="0"/>
      <w:marTop w:val="0"/>
      <w:marBottom w:val="0"/>
      <w:divBdr>
        <w:top w:val="none" w:sz="0" w:space="0" w:color="auto"/>
        <w:left w:val="none" w:sz="0" w:space="0" w:color="auto"/>
        <w:bottom w:val="none" w:sz="0" w:space="0" w:color="auto"/>
        <w:right w:val="none" w:sz="0" w:space="0" w:color="auto"/>
      </w:divBdr>
    </w:div>
    <w:div w:id="319700734">
      <w:bodyDiv w:val="1"/>
      <w:marLeft w:val="0"/>
      <w:marRight w:val="0"/>
      <w:marTop w:val="0"/>
      <w:marBottom w:val="0"/>
      <w:divBdr>
        <w:top w:val="none" w:sz="0" w:space="0" w:color="auto"/>
        <w:left w:val="none" w:sz="0" w:space="0" w:color="auto"/>
        <w:bottom w:val="none" w:sz="0" w:space="0" w:color="auto"/>
        <w:right w:val="none" w:sz="0" w:space="0" w:color="auto"/>
      </w:divBdr>
    </w:div>
    <w:div w:id="499733505">
      <w:bodyDiv w:val="1"/>
      <w:marLeft w:val="0"/>
      <w:marRight w:val="0"/>
      <w:marTop w:val="0"/>
      <w:marBottom w:val="0"/>
      <w:divBdr>
        <w:top w:val="none" w:sz="0" w:space="0" w:color="auto"/>
        <w:left w:val="none" w:sz="0" w:space="0" w:color="auto"/>
        <w:bottom w:val="none" w:sz="0" w:space="0" w:color="auto"/>
        <w:right w:val="none" w:sz="0" w:space="0" w:color="auto"/>
      </w:divBdr>
    </w:div>
    <w:div w:id="928973659">
      <w:bodyDiv w:val="1"/>
      <w:marLeft w:val="0"/>
      <w:marRight w:val="0"/>
      <w:marTop w:val="0"/>
      <w:marBottom w:val="0"/>
      <w:divBdr>
        <w:top w:val="none" w:sz="0" w:space="0" w:color="auto"/>
        <w:left w:val="none" w:sz="0" w:space="0" w:color="auto"/>
        <w:bottom w:val="none" w:sz="0" w:space="0" w:color="auto"/>
        <w:right w:val="none" w:sz="0" w:space="0" w:color="auto"/>
      </w:divBdr>
    </w:div>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 w:id="1300917820">
      <w:bodyDiv w:val="1"/>
      <w:marLeft w:val="0"/>
      <w:marRight w:val="0"/>
      <w:marTop w:val="0"/>
      <w:marBottom w:val="0"/>
      <w:divBdr>
        <w:top w:val="none" w:sz="0" w:space="0" w:color="auto"/>
        <w:left w:val="none" w:sz="0" w:space="0" w:color="auto"/>
        <w:bottom w:val="none" w:sz="0" w:space="0" w:color="auto"/>
        <w:right w:val="none" w:sz="0" w:space="0" w:color="auto"/>
      </w:divBdr>
    </w:div>
    <w:div w:id="1567302005">
      <w:bodyDiv w:val="1"/>
      <w:marLeft w:val="0"/>
      <w:marRight w:val="0"/>
      <w:marTop w:val="0"/>
      <w:marBottom w:val="0"/>
      <w:divBdr>
        <w:top w:val="none" w:sz="0" w:space="0" w:color="auto"/>
        <w:left w:val="none" w:sz="0" w:space="0" w:color="auto"/>
        <w:bottom w:val="none" w:sz="0" w:space="0" w:color="auto"/>
        <w:right w:val="none" w:sz="0" w:space="0" w:color="auto"/>
      </w:divBdr>
    </w:div>
    <w:div w:id="1596281647">
      <w:bodyDiv w:val="1"/>
      <w:marLeft w:val="0"/>
      <w:marRight w:val="0"/>
      <w:marTop w:val="0"/>
      <w:marBottom w:val="0"/>
      <w:divBdr>
        <w:top w:val="none" w:sz="0" w:space="0" w:color="auto"/>
        <w:left w:val="none" w:sz="0" w:space="0" w:color="auto"/>
        <w:bottom w:val="none" w:sz="0" w:space="0" w:color="auto"/>
        <w:right w:val="none" w:sz="0" w:space="0" w:color="auto"/>
      </w:divBdr>
    </w:div>
    <w:div w:id="1659309619">
      <w:bodyDiv w:val="1"/>
      <w:marLeft w:val="0"/>
      <w:marRight w:val="0"/>
      <w:marTop w:val="0"/>
      <w:marBottom w:val="0"/>
      <w:divBdr>
        <w:top w:val="none" w:sz="0" w:space="0" w:color="auto"/>
        <w:left w:val="none" w:sz="0" w:space="0" w:color="auto"/>
        <w:bottom w:val="none" w:sz="0" w:space="0" w:color="auto"/>
        <w:right w:val="none" w:sz="0" w:space="0" w:color="auto"/>
      </w:divBdr>
    </w:div>
    <w:div w:id="1690135711">
      <w:bodyDiv w:val="1"/>
      <w:marLeft w:val="0"/>
      <w:marRight w:val="0"/>
      <w:marTop w:val="0"/>
      <w:marBottom w:val="0"/>
      <w:divBdr>
        <w:top w:val="none" w:sz="0" w:space="0" w:color="auto"/>
        <w:left w:val="none" w:sz="0" w:space="0" w:color="auto"/>
        <w:bottom w:val="none" w:sz="0" w:space="0" w:color="auto"/>
        <w:right w:val="none" w:sz="0" w:space="0" w:color="auto"/>
      </w:divBdr>
    </w:div>
    <w:div w:id="209265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2" ma:contentTypeDescription="Create a new document." ma:contentTypeScope="" ma:versionID="7ff483dd27ddf54e7f1f439d5e375fd4">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8477970cc407bee13003e780f13f63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7B2E7A-9231-4FEF-887A-1E453C65E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42D940-2F75-4FBA-B489-21E3F9ADA4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BDB091-49A2-4D4A-AED8-A7BC7626D9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Pages>
  <Words>655</Words>
  <Characters>3673</Characters>
  <Application>Microsoft Office Word</Application>
  <DocSecurity>0</DocSecurity>
  <Lines>58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Katelyn Wright</cp:lastModifiedBy>
  <cp:revision>8</cp:revision>
  <cp:lastPrinted>2025-11-13T20:14:00Z</cp:lastPrinted>
  <dcterms:created xsi:type="dcterms:W3CDTF">2025-06-05T17:06:00Z</dcterms:created>
  <dcterms:modified xsi:type="dcterms:W3CDTF">2025-11-13T20:18:00Z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y fmtid="{D5CDD505-2E9C-101B-9397-08002B2CF9AE}" pid="3" name="MSIP_Label_bc3dd1c7-2c40-4a31-84b2-bec599b321a0_Enabled">
    <vt:lpwstr>true</vt:lpwstr>
  </property>
  <property fmtid="{D5CDD505-2E9C-101B-9397-08002B2CF9AE}" pid="4" name="MSIP_Label_bc3dd1c7-2c40-4a31-84b2-bec599b321a0_SetDate">
    <vt:lpwstr>2024-05-20T13:43:56Z</vt:lpwstr>
  </property>
  <property fmtid="{D5CDD505-2E9C-101B-9397-08002B2CF9AE}" pid="5" name="MSIP_Label_bc3dd1c7-2c40-4a31-84b2-bec599b321a0_Method">
    <vt:lpwstr>Standard</vt:lpwstr>
  </property>
  <property fmtid="{D5CDD505-2E9C-101B-9397-08002B2CF9AE}" pid="6" name="MSIP_Label_bc3dd1c7-2c40-4a31-84b2-bec599b321a0_Name">
    <vt:lpwstr>bc3dd1c7-2c40-4a31-84b2-bec599b321a0</vt:lpwstr>
  </property>
  <property fmtid="{D5CDD505-2E9C-101B-9397-08002B2CF9AE}" pid="7" name="MSIP_Label_bc3dd1c7-2c40-4a31-84b2-bec599b321a0_SiteId">
    <vt:lpwstr>5b2a8fee-4c95-4bdc-8aae-196f8aacb1b6</vt:lpwstr>
  </property>
  <property fmtid="{D5CDD505-2E9C-101B-9397-08002B2CF9AE}" pid="8" name="MSIP_Label_bc3dd1c7-2c40-4a31-84b2-bec599b321a0_ActionId">
    <vt:lpwstr>29938da5-f5d4-41d7-8283-f5611567d900</vt:lpwstr>
  </property>
  <property fmtid="{D5CDD505-2E9C-101B-9397-08002B2CF9AE}" pid="9" name="MSIP_Label_bc3dd1c7-2c40-4a31-84b2-bec599b321a0_ContentBits">
    <vt:lpwstr>0</vt:lpwstr>
  </property>
</Properties>
</file>